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9A82" w14:textId="77777777" w:rsidR="00186329" w:rsidRPr="00C15181" w:rsidRDefault="00186329" w:rsidP="00B611C9">
      <w:pPr>
        <w:spacing w:line="276" w:lineRule="auto"/>
        <w:ind w:left="426" w:hanging="426"/>
        <w:jc w:val="both"/>
        <w:rPr>
          <w:rFonts w:ascii="Times New Roman" w:hAnsi="Times New Roman" w:cs="Times New Roman"/>
          <w:sz w:val="28"/>
          <w:szCs w:val="28"/>
        </w:rPr>
        <w:sectPr w:rsidR="00186329" w:rsidRPr="00C15181" w:rsidSect="00E833DE">
          <w:headerReference w:type="default" r:id="rId7"/>
          <w:pgSz w:w="11900" w:h="16840"/>
          <w:pgMar w:top="2552" w:right="1127" w:bottom="2275" w:left="1560" w:header="0" w:footer="3" w:gutter="0"/>
          <w:cols w:space="720"/>
          <w:noEndnote/>
          <w:docGrid w:linePitch="360"/>
        </w:sectPr>
      </w:pPr>
    </w:p>
    <w:p w14:paraId="065B3131" w14:textId="1943AAB8" w:rsidR="00186329" w:rsidRPr="00D10D5B" w:rsidRDefault="00F31781" w:rsidP="00D10D5B">
      <w:pPr>
        <w:pStyle w:val="71"/>
        <w:shd w:val="clear" w:color="auto" w:fill="auto"/>
        <w:spacing w:after="1806" w:line="276" w:lineRule="auto"/>
        <w:ind w:left="426" w:hanging="426"/>
        <w:rPr>
          <w:rFonts w:ascii="Times New Roman" w:hAnsi="Times New Roman" w:cs="Times New Roman"/>
          <w:b/>
          <w:bCs/>
          <w:sz w:val="28"/>
          <w:szCs w:val="28"/>
        </w:rPr>
      </w:pPr>
      <w:r w:rsidRPr="00D10D5B">
        <w:rPr>
          <w:rFonts w:ascii="Times New Roman" w:hAnsi="Times New Roman" w:cs="Times New Roman"/>
          <w:b/>
          <w:bCs/>
          <w:sz w:val="28"/>
          <w:szCs w:val="28"/>
        </w:rPr>
        <w:t>Информация по дорожным сборам, в зависимости от количества осей</w:t>
      </w:r>
      <w:r w:rsidRPr="00D10D5B">
        <w:rPr>
          <w:rFonts w:ascii="Times New Roman" w:hAnsi="Times New Roman" w:cs="Times New Roman"/>
          <w:b/>
          <w:bCs/>
          <w:sz w:val="28"/>
          <w:szCs w:val="28"/>
        </w:rPr>
        <w:br/>
        <w:t>и срока пребывания транспортного средства на территории</w:t>
      </w:r>
      <w:r w:rsidR="00D10D5B" w:rsidRPr="00D10D5B">
        <w:rPr>
          <w:rFonts w:ascii="Times New Roman" w:hAnsi="Times New Roman" w:cs="Times New Roman"/>
          <w:b/>
          <w:bCs/>
          <w:sz w:val="28"/>
          <w:szCs w:val="28"/>
        </w:rPr>
        <w:t xml:space="preserve"> </w:t>
      </w:r>
      <w:r w:rsidRPr="00D10D5B">
        <w:rPr>
          <w:rFonts w:ascii="Times New Roman" w:hAnsi="Times New Roman" w:cs="Times New Roman"/>
          <w:b/>
          <w:bCs/>
          <w:sz w:val="28"/>
          <w:szCs w:val="28"/>
        </w:rPr>
        <w:t>Азербайджанской Республики</w:t>
      </w:r>
      <w:bookmarkStart w:id="0" w:name="_GoBack"/>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2669"/>
        <w:gridCol w:w="3274"/>
        <w:gridCol w:w="2823"/>
      </w:tblGrid>
      <w:tr w:rsidR="00186329" w:rsidRPr="00C15181" w14:paraId="7D9E62B2" w14:textId="77777777" w:rsidTr="00E833DE">
        <w:trPr>
          <w:trHeight w:hRule="exact" w:val="1334"/>
          <w:jc w:val="center"/>
        </w:trPr>
        <w:tc>
          <w:tcPr>
            <w:tcW w:w="2669" w:type="dxa"/>
            <w:tcBorders>
              <w:top w:val="single" w:sz="4" w:space="0" w:color="auto"/>
              <w:left w:val="single" w:sz="4" w:space="0" w:color="auto"/>
            </w:tcBorders>
            <w:shd w:val="clear" w:color="auto" w:fill="FFFFFF"/>
          </w:tcPr>
          <w:p w14:paraId="737ACE9C"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Продолжительность пребывания в стране</w:t>
            </w:r>
            <w:r w:rsidRPr="00C15181">
              <w:rPr>
                <w:rStyle w:val="22"/>
                <w:rFonts w:ascii="Times New Roman" w:hAnsi="Times New Roman" w:cs="Times New Roman"/>
                <w:sz w:val="28"/>
                <w:szCs w:val="28"/>
              </w:rPr>
              <w:footnoteReference w:id="1"/>
            </w:r>
          </w:p>
        </w:tc>
        <w:tc>
          <w:tcPr>
            <w:tcW w:w="3274" w:type="dxa"/>
            <w:tcBorders>
              <w:top w:val="single" w:sz="4" w:space="0" w:color="auto"/>
              <w:left w:val="single" w:sz="4" w:space="0" w:color="auto"/>
            </w:tcBorders>
            <w:shd w:val="clear" w:color="auto" w:fill="FFFFFF"/>
          </w:tcPr>
          <w:p w14:paraId="49551E26"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до 4 (четырех) осей</w:t>
            </w:r>
          </w:p>
        </w:tc>
        <w:tc>
          <w:tcPr>
            <w:tcW w:w="2823" w:type="dxa"/>
            <w:tcBorders>
              <w:top w:val="single" w:sz="4" w:space="0" w:color="auto"/>
              <w:left w:val="single" w:sz="4" w:space="0" w:color="auto"/>
              <w:right w:val="single" w:sz="4" w:space="0" w:color="auto"/>
            </w:tcBorders>
            <w:shd w:val="clear" w:color="auto" w:fill="FFFFFF"/>
          </w:tcPr>
          <w:p w14:paraId="61726BCC"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При наличии 4 (четырех) и более осей</w:t>
            </w:r>
          </w:p>
        </w:tc>
      </w:tr>
      <w:tr w:rsidR="00186329" w:rsidRPr="00C15181" w14:paraId="22085DF3" w14:textId="77777777" w:rsidTr="00E833DE">
        <w:trPr>
          <w:trHeight w:hRule="exact" w:val="459"/>
          <w:jc w:val="center"/>
        </w:trPr>
        <w:tc>
          <w:tcPr>
            <w:tcW w:w="2669" w:type="dxa"/>
            <w:tcBorders>
              <w:top w:val="single" w:sz="4" w:space="0" w:color="auto"/>
              <w:left w:val="single" w:sz="4" w:space="0" w:color="auto"/>
            </w:tcBorders>
            <w:shd w:val="clear" w:color="auto" w:fill="FFFFFF"/>
          </w:tcPr>
          <w:p w14:paraId="403D54F4"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на 1 день</w:t>
            </w:r>
          </w:p>
        </w:tc>
        <w:tc>
          <w:tcPr>
            <w:tcW w:w="3274" w:type="dxa"/>
            <w:tcBorders>
              <w:top w:val="single" w:sz="4" w:space="0" w:color="auto"/>
              <w:left w:val="single" w:sz="4" w:space="0" w:color="auto"/>
            </w:tcBorders>
            <w:shd w:val="clear" w:color="auto" w:fill="FFFFFF"/>
          </w:tcPr>
          <w:p w14:paraId="0BF0EC16"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20 долларов США</w:t>
            </w:r>
          </w:p>
        </w:tc>
        <w:tc>
          <w:tcPr>
            <w:tcW w:w="2823" w:type="dxa"/>
            <w:tcBorders>
              <w:top w:val="single" w:sz="4" w:space="0" w:color="auto"/>
              <w:left w:val="single" w:sz="4" w:space="0" w:color="auto"/>
              <w:right w:val="single" w:sz="4" w:space="0" w:color="auto"/>
            </w:tcBorders>
            <w:shd w:val="clear" w:color="auto" w:fill="FFFFFF"/>
          </w:tcPr>
          <w:p w14:paraId="349DBA7F"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30 долларов США</w:t>
            </w:r>
          </w:p>
        </w:tc>
      </w:tr>
      <w:tr w:rsidR="00186329" w:rsidRPr="00C15181" w14:paraId="1F6D3D51" w14:textId="77777777" w:rsidTr="00E833DE">
        <w:trPr>
          <w:trHeight w:hRule="exact" w:val="459"/>
          <w:jc w:val="center"/>
        </w:trPr>
        <w:tc>
          <w:tcPr>
            <w:tcW w:w="2669" w:type="dxa"/>
            <w:tcBorders>
              <w:top w:val="single" w:sz="4" w:space="0" w:color="auto"/>
              <w:left w:val="single" w:sz="4" w:space="0" w:color="auto"/>
            </w:tcBorders>
            <w:shd w:val="clear" w:color="auto" w:fill="FFFFFF"/>
          </w:tcPr>
          <w:p w14:paraId="3608F584"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до 2 недель</w:t>
            </w:r>
          </w:p>
        </w:tc>
        <w:tc>
          <w:tcPr>
            <w:tcW w:w="3274" w:type="dxa"/>
            <w:tcBorders>
              <w:top w:val="single" w:sz="4" w:space="0" w:color="auto"/>
              <w:left w:val="single" w:sz="4" w:space="0" w:color="auto"/>
            </w:tcBorders>
            <w:shd w:val="clear" w:color="auto" w:fill="FFFFFF"/>
          </w:tcPr>
          <w:p w14:paraId="10BF9250"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40 долларов США</w:t>
            </w:r>
          </w:p>
        </w:tc>
        <w:tc>
          <w:tcPr>
            <w:tcW w:w="2823" w:type="dxa"/>
            <w:tcBorders>
              <w:top w:val="single" w:sz="4" w:space="0" w:color="auto"/>
              <w:left w:val="single" w:sz="4" w:space="0" w:color="auto"/>
              <w:right w:val="single" w:sz="4" w:space="0" w:color="auto"/>
            </w:tcBorders>
            <w:shd w:val="clear" w:color="auto" w:fill="FFFFFF"/>
          </w:tcPr>
          <w:p w14:paraId="205CB3DF"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80 долларов США</w:t>
            </w:r>
          </w:p>
        </w:tc>
      </w:tr>
      <w:tr w:rsidR="00186329" w:rsidRPr="00C15181" w14:paraId="1470BC3E" w14:textId="77777777" w:rsidTr="00E833DE">
        <w:trPr>
          <w:trHeight w:hRule="exact" w:val="459"/>
          <w:jc w:val="center"/>
        </w:trPr>
        <w:tc>
          <w:tcPr>
            <w:tcW w:w="2669" w:type="dxa"/>
            <w:tcBorders>
              <w:top w:val="single" w:sz="4" w:space="0" w:color="auto"/>
              <w:left w:val="single" w:sz="4" w:space="0" w:color="auto"/>
            </w:tcBorders>
            <w:shd w:val="clear" w:color="auto" w:fill="FFFFFF"/>
          </w:tcPr>
          <w:p w14:paraId="3CD614F5"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до 1 месяца</w:t>
            </w:r>
          </w:p>
        </w:tc>
        <w:tc>
          <w:tcPr>
            <w:tcW w:w="3274" w:type="dxa"/>
            <w:tcBorders>
              <w:top w:val="single" w:sz="4" w:space="0" w:color="auto"/>
              <w:left w:val="single" w:sz="4" w:space="0" w:color="auto"/>
            </w:tcBorders>
            <w:shd w:val="clear" w:color="auto" w:fill="FFFFFF"/>
          </w:tcPr>
          <w:p w14:paraId="7BEECE3F"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140 долларов США</w:t>
            </w:r>
          </w:p>
        </w:tc>
        <w:tc>
          <w:tcPr>
            <w:tcW w:w="2823" w:type="dxa"/>
            <w:tcBorders>
              <w:top w:val="single" w:sz="4" w:space="0" w:color="auto"/>
              <w:left w:val="single" w:sz="4" w:space="0" w:color="auto"/>
              <w:right w:val="single" w:sz="4" w:space="0" w:color="auto"/>
            </w:tcBorders>
            <w:shd w:val="clear" w:color="auto" w:fill="FFFFFF"/>
          </w:tcPr>
          <w:p w14:paraId="136B3F86"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280 долларов США</w:t>
            </w:r>
          </w:p>
        </w:tc>
      </w:tr>
      <w:tr w:rsidR="00186329" w:rsidRPr="00C15181" w14:paraId="456CF27C" w14:textId="77777777" w:rsidTr="00E833DE">
        <w:trPr>
          <w:trHeight w:hRule="exact" w:val="459"/>
          <w:jc w:val="center"/>
        </w:trPr>
        <w:tc>
          <w:tcPr>
            <w:tcW w:w="2669" w:type="dxa"/>
            <w:tcBorders>
              <w:top w:val="single" w:sz="4" w:space="0" w:color="auto"/>
              <w:left w:val="single" w:sz="4" w:space="0" w:color="auto"/>
            </w:tcBorders>
            <w:shd w:val="clear" w:color="auto" w:fill="FFFFFF"/>
          </w:tcPr>
          <w:p w14:paraId="43F251B8"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до 3 месяцев</w:t>
            </w:r>
          </w:p>
        </w:tc>
        <w:tc>
          <w:tcPr>
            <w:tcW w:w="3274" w:type="dxa"/>
            <w:tcBorders>
              <w:top w:val="single" w:sz="4" w:space="0" w:color="auto"/>
              <w:left w:val="single" w:sz="4" w:space="0" w:color="auto"/>
            </w:tcBorders>
            <w:shd w:val="clear" w:color="auto" w:fill="FFFFFF"/>
          </w:tcPr>
          <w:p w14:paraId="4235C65A"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400 долларов США</w:t>
            </w:r>
          </w:p>
        </w:tc>
        <w:tc>
          <w:tcPr>
            <w:tcW w:w="2823" w:type="dxa"/>
            <w:tcBorders>
              <w:top w:val="single" w:sz="4" w:space="0" w:color="auto"/>
              <w:left w:val="single" w:sz="4" w:space="0" w:color="auto"/>
              <w:right w:val="single" w:sz="4" w:space="0" w:color="auto"/>
            </w:tcBorders>
            <w:shd w:val="clear" w:color="auto" w:fill="FFFFFF"/>
          </w:tcPr>
          <w:p w14:paraId="2407419D"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800 долларов США</w:t>
            </w:r>
          </w:p>
        </w:tc>
      </w:tr>
      <w:tr w:rsidR="00186329" w:rsidRPr="00C15181" w14:paraId="64F7B25B" w14:textId="77777777" w:rsidTr="00E833DE">
        <w:trPr>
          <w:trHeight w:hRule="exact" w:val="452"/>
          <w:jc w:val="center"/>
        </w:trPr>
        <w:tc>
          <w:tcPr>
            <w:tcW w:w="2669" w:type="dxa"/>
            <w:tcBorders>
              <w:top w:val="single" w:sz="4" w:space="0" w:color="auto"/>
              <w:left w:val="single" w:sz="4" w:space="0" w:color="auto"/>
            </w:tcBorders>
            <w:shd w:val="clear" w:color="auto" w:fill="FFFFFF"/>
          </w:tcPr>
          <w:p w14:paraId="7F9F5FB3"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до 1 года</w:t>
            </w:r>
          </w:p>
        </w:tc>
        <w:tc>
          <w:tcPr>
            <w:tcW w:w="3274" w:type="dxa"/>
            <w:tcBorders>
              <w:top w:val="single" w:sz="4" w:space="0" w:color="auto"/>
              <w:left w:val="single" w:sz="4" w:space="0" w:color="auto"/>
            </w:tcBorders>
            <w:shd w:val="clear" w:color="auto" w:fill="FFFFFF"/>
          </w:tcPr>
          <w:p w14:paraId="2027625F"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1400 долларов США</w:t>
            </w:r>
          </w:p>
        </w:tc>
        <w:tc>
          <w:tcPr>
            <w:tcW w:w="2823" w:type="dxa"/>
            <w:tcBorders>
              <w:top w:val="single" w:sz="4" w:space="0" w:color="auto"/>
              <w:left w:val="single" w:sz="4" w:space="0" w:color="auto"/>
              <w:right w:val="single" w:sz="4" w:space="0" w:color="auto"/>
            </w:tcBorders>
            <w:shd w:val="clear" w:color="auto" w:fill="FFFFFF"/>
          </w:tcPr>
          <w:p w14:paraId="21F5923B"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2800 долларов США</w:t>
            </w:r>
          </w:p>
        </w:tc>
      </w:tr>
      <w:tr w:rsidR="00186329" w:rsidRPr="00C15181" w14:paraId="41E93FF0" w14:textId="77777777" w:rsidTr="00E833DE">
        <w:trPr>
          <w:trHeight w:hRule="exact" w:val="2564"/>
          <w:jc w:val="center"/>
        </w:trPr>
        <w:tc>
          <w:tcPr>
            <w:tcW w:w="2669" w:type="dxa"/>
            <w:tcBorders>
              <w:top w:val="single" w:sz="4" w:space="0" w:color="auto"/>
              <w:left w:val="single" w:sz="4" w:space="0" w:color="auto"/>
              <w:bottom w:val="single" w:sz="4" w:space="0" w:color="auto"/>
            </w:tcBorders>
            <w:shd w:val="clear" w:color="auto" w:fill="FFFFFF"/>
          </w:tcPr>
          <w:p w14:paraId="0D822D7F"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Более 1 года</w:t>
            </w:r>
          </w:p>
        </w:tc>
        <w:tc>
          <w:tcPr>
            <w:tcW w:w="3274" w:type="dxa"/>
            <w:tcBorders>
              <w:top w:val="single" w:sz="4" w:space="0" w:color="auto"/>
              <w:left w:val="single" w:sz="4" w:space="0" w:color="auto"/>
              <w:bottom w:val="single" w:sz="4" w:space="0" w:color="auto"/>
            </w:tcBorders>
            <w:shd w:val="clear" w:color="auto" w:fill="FFFFFF"/>
          </w:tcPr>
          <w:p w14:paraId="56180BD8"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1400 долларов США + 15 долларов США в каждый дополнительный день более 1 года</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14:paraId="738B4BD6" w14:textId="77777777" w:rsidR="00186329" w:rsidRPr="00C15181" w:rsidRDefault="00F31781" w:rsidP="00E833DE">
            <w:pPr>
              <w:pStyle w:val="21"/>
              <w:shd w:val="clear" w:color="auto" w:fill="auto"/>
              <w:spacing w:before="0" w:line="276" w:lineRule="auto"/>
              <w:ind w:left="426" w:hanging="426"/>
              <w:jc w:val="left"/>
              <w:rPr>
                <w:rFonts w:ascii="Times New Roman" w:hAnsi="Times New Roman" w:cs="Times New Roman"/>
                <w:sz w:val="28"/>
                <w:szCs w:val="28"/>
              </w:rPr>
            </w:pPr>
            <w:r w:rsidRPr="00C15181">
              <w:rPr>
                <w:rStyle w:val="22"/>
                <w:rFonts w:ascii="Times New Roman" w:hAnsi="Times New Roman" w:cs="Times New Roman"/>
                <w:sz w:val="28"/>
                <w:szCs w:val="28"/>
              </w:rPr>
              <w:t>2800 долларов США + 30 долларов США за каждый дополнительный день более 1 года</w:t>
            </w:r>
          </w:p>
        </w:tc>
      </w:tr>
    </w:tbl>
    <w:p w14:paraId="41CEEEE2" w14:textId="77777777" w:rsidR="00E833DE" w:rsidRDefault="00E833DE" w:rsidP="00E833DE">
      <w:pPr>
        <w:pStyle w:val="71"/>
        <w:shd w:val="clear" w:color="auto" w:fill="auto"/>
        <w:spacing w:after="0" w:line="276" w:lineRule="auto"/>
        <w:jc w:val="both"/>
        <w:rPr>
          <w:rFonts w:ascii="Times New Roman" w:hAnsi="Times New Roman" w:cs="Times New Roman"/>
          <w:sz w:val="28"/>
          <w:szCs w:val="28"/>
        </w:rPr>
      </w:pPr>
    </w:p>
    <w:sectPr w:rsidR="00E833DE" w:rsidSect="00E833DE">
      <w:type w:val="continuous"/>
      <w:pgSz w:w="11900" w:h="16840"/>
      <w:pgMar w:top="1560" w:right="1127" w:bottom="709"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3FFA" w14:textId="77777777" w:rsidR="001A25A6" w:rsidRDefault="001A25A6">
      <w:r>
        <w:separator/>
      </w:r>
    </w:p>
  </w:endnote>
  <w:endnote w:type="continuationSeparator" w:id="0">
    <w:p w14:paraId="5626D370" w14:textId="77777777" w:rsidR="001A25A6" w:rsidRDefault="001A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88F3" w14:textId="77777777" w:rsidR="001A25A6" w:rsidRDefault="001A25A6">
      <w:r>
        <w:separator/>
      </w:r>
    </w:p>
  </w:footnote>
  <w:footnote w:type="continuationSeparator" w:id="0">
    <w:p w14:paraId="45FCC68D" w14:textId="77777777" w:rsidR="001A25A6" w:rsidRDefault="001A25A6">
      <w:r>
        <w:continuationSeparator/>
      </w:r>
    </w:p>
  </w:footnote>
  <w:footnote w:id="1">
    <w:p w14:paraId="6B6B6D84" w14:textId="3FE13CDD" w:rsidR="00186329" w:rsidRPr="00E833DE" w:rsidRDefault="00E833DE" w:rsidP="00E833DE">
      <w:pPr>
        <w:pStyle w:val="a5"/>
        <w:shd w:val="clear" w:color="auto" w:fill="auto"/>
        <w:ind w:left="740"/>
        <w:jc w:val="both"/>
        <w:rPr>
          <w:rFonts w:ascii="Times New Roman" w:hAnsi="Times New Roman" w:cs="Times New Roman"/>
        </w:rPr>
      </w:pPr>
      <w:r w:rsidRPr="00E833DE">
        <w:rPr>
          <w:rFonts w:ascii="Times New Roman" w:hAnsi="Times New Roman" w:cs="Times New Roman"/>
          <w:sz w:val="24"/>
          <w:szCs w:val="24"/>
        </w:rPr>
        <w:t xml:space="preserve">* </w:t>
      </w:r>
      <w:r w:rsidR="00F31781" w:rsidRPr="00E833DE">
        <w:rPr>
          <w:rFonts w:ascii="Times New Roman" w:hAnsi="Times New Roman" w:cs="Times New Roman"/>
          <w:sz w:val="24"/>
          <w:szCs w:val="24"/>
        </w:rPr>
        <w:t>В соответствии с Налоговым кодексом, если в соответствии с Соглашением Межправительственной комиссии по вопросам международных автомобильных сообщений предусмотрены льготы по уплате дорожного налога для автотранспортных средств, въезжающих на территорию Азербайджанской Республики используя бланки разрешений по обмененными квотам, уплата дорожного налога осуществляется только после 30 дней с момента въезда на территорию Азербайджанской Республики.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F465" w14:textId="02DF4B59" w:rsidR="00186329" w:rsidRDefault="003C19FA">
    <w:pPr>
      <w:rPr>
        <w:sz w:val="2"/>
        <w:szCs w:val="2"/>
      </w:rPr>
    </w:pPr>
    <w:r>
      <w:rPr>
        <w:noProof/>
      </w:rPr>
      <mc:AlternateContent>
        <mc:Choice Requires="wps">
          <w:drawing>
            <wp:anchor distT="0" distB="0" distL="63500" distR="63500" simplePos="0" relativeHeight="251657728" behindDoc="1" locked="0" layoutInCell="1" allowOverlap="1" wp14:anchorId="2B440473" wp14:editId="1BBB7E0C">
              <wp:simplePos x="0" y="0"/>
              <wp:positionH relativeFrom="page">
                <wp:posOffset>5760720</wp:posOffset>
              </wp:positionH>
              <wp:positionV relativeFrom="page">
                <wp:posOffset>840105</wp:posOffset>
              </wp:positionV>
              <wp:extent cx="1085850" cy="160655"/>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2301" w14:textId="597B32BD" w:rsidR="00186329" w:rsidRDefault="00F31781">
                          <w:pPr>
                            <w:pStyle w:val="1"/>
                            <w:shd w:val="clear" w:color="auto" w:fill="auto"/>
                            <w:spacing w:line="240" w:lineRule="auto"/>
                          </w:pPr>
                          <w:r>
                            <w:rPr>
                              <w:rStyle w:val="a7"/>
                            </w:rPr>
                            <w:t>Приложение №</w:t>
                          </w:r>
                          <w:r w:rsidR="00061DDE">
                            <w:rPr>
                              <w:rStyle w:val="a7"/>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440473" id="_x0000_t202" coordsize="21600,21600" o:spt="202" path="m,l,21600r21600,l21600,xe">
              <v:stroke joinstyle="miter"/>
              <v:path gradientshapeok="t" o:connecttype="rect"/>
            </v:shapetype>
            <v:shape id="Text Box 2" o:spid="_x0000_s1026" type="#_x0000_t202" style="position:absolute;margin-left:453.6pt;margin-top:66.15pt;width:8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" filled="f" stroked="f">
              <v:textbox style="mso-fit-shape-to-text:t" inset="0,0,0,0">
                <w:txbxContent>
                  <w:p w14:paraId="4B9A2301" w14:textId="597B32BD" w:rsidR="00186329" w:rsidRDefault="00F31781">
                    <w:pPr>
                      <w:pStyle w:val="1"/>
                      <w:shd w:val="clear" w:color="auto" w:fill="auto"/>
                      <w:spacing w:line="240" w:lineRule="auto"/>
                    </w:pPr>
                    <w:r>
                      <w:rPr>
                        <w:rStyle w:val="a7"/>
                      </w:rPr>
                      <w:t>Приложение №</w:t>
                    </w:r>
                    <w:r w:rsidR="00061DDE">
                      <w:rPr>
                        <w:rStyle w:val="a7"/>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7A5D"/>
    <w:multiLevelType w:val="multilevel"/>
    <w:tmpl w:val="D29664D6"/>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523B8"/>
    <w:multiLevelType w:val="multilevel"/>
    <w:tmpl w:val="0AD00D92"/>
    <w:lvl w:ilvl="0">
      <w:start w:val="3"/>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5B59BC"/>
    <w:multiLevelType w:val="multilevel"/>
    <w:tmpl w:val="2E84E3B6"/>
    <w:lvl w:ilvl="0">
      <w:start w:val="5"/>
      <w:numFmt w:val="decimal"/>
      <w:lvlText w:val="%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73920976"/>
    <w:multiLevelType w:val="multilevel"/>
    <w:tmpl w:val="E50EE9FC"/>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A71ACA"/>
    <w:multiLevelType w:val="multilevel"/>
    <w:tmpl w:val="3DC29B30"/>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29"/>
    <w:rsid w:val="00061DDE"/>
    <w:rsid w:val="000C1C6C"/>
    <w:rsid w:val="000D7FCD"/>
    <w:rsid w:val="00186329"/>
    <w:rsid w:val="001A25A6"/>
    <w:rsid w:val="001C3A24"/>
    <w:rsid w:val="00311D93"/>
    <w:rsid w:val="003C19FA"/>
    <w:rsid w:val="006608A4"/>
    <w:rsid w:val="006F3853"/>
    <w:rsid w:val="00B611C9"/>
    <w:rsid w:val="00B772D0"/>
    <w:rsid w:val="00C15181"/>
    <w:rsid w:val="00D10D5B"/>
    <w:rsid w:val="00E833DE"/>
    <w:rsid w:val="00F3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15FF"/>
  <w15:docId w15:val="{436FC286-00AA-4469-8843-3FE7E1C9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Arial" w:eastAsia="Arial" w:hAnsi="Arial" w:cs="Arial"/>
      <w:b w:val="0"/>
      <w:bCs w:val="0"/>
      <w:i w:val="0"/>
      <w:iCs w:val="0"/>
      <w:smallCaps w:val="0"/>
      <w:strike w:val="0"/>
      <w:sz w:val="22"/>
      <w:szCs w:val="22"/>
      <w:u w:val="none"/>
    </w:rPr>
  </w:style>
  <w:style w:type="character" w:customStyle="1" w:styleId="5">
    <w:name w:val="Основной текст (5)_"/>
    <w:basedOn w:val="a0"/>
    <w:link w:val="51"/>
    <w:rPr>
      <w:rFonts w:ascii="Arial" w:eastAsia="Arial" w:hAnsi="Arial" w:cs="Arial"/>
      <w:b/>
      <w:bCs/>
      <w:i w:val="0"/>
      <w:iCs w:val="0"/>
      <w:smallCaps w:val="0"/>
      <w:strike w:val="0"/>
      <w:sz w:val="22"/>
      <w:szCs w:val="22"/>
      <w:u w:val="none"/>
    </w:rPr>
  </w:style>
  <w:style w:type="character" w:customStyle="1" w:styleId="50">
    <w:name w:val="Основной текст (5)"/>
    <w:basedOn w:val="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1"/>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3"/>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7">
    <w:name w:val="Основной текст (7)_"/>
    <w:basedOn w:val="a0"/>
    <w:link w:val="71"/>
    <w:rPr>
      <w:rFonts w:ascii="Arial" w:eastAsia="Arial" w:hAnsi="Arial" w:cs="Arial"/>
      <w:b w:val="0"/>
      <w:bCs w:val="0"/>
      <w:i w:val="0"/>
      <w:iCs w:val="0"/>
      <w:smallCaps w:val="0"/>
      <w:strike w:val="0"/>
      <w:sz w:val="22"/>
      <w:szCs w:val="22"/>
      <w:u w:val="none"/>
    </w:rPr>
  </w:style>
  <w:style w:type="character" w:customStyle="1" w:styleId="a6">
    <w:name w:val="Колонтитул_"/>
    <w:basedOn w:val="a0"/>
    <w:link w:val="1"/>
    <w:rPr>
      <w:rFonts w:ascii="Arial" w:eastAsia="Arial" w:hAnsi="Arial" w:cs="Arial"/>
      <w:b w:val="0"/>
      <w:bCs w:val="0"/>
      <w:i w:val="0"/>
      <w:iCs w:val="0"/>
      <w:smallCaps w:val="0"/>
      <w:strike w:val="0"/>
      <w:sz w:val="22"/>
      <w:szCs w:val="22"/>
      <w:u w:val="none"/>
    </w:rPr>
  </w:style>
  <w:style w:type="character" w:customStyle="1" w:styleId="a7">
    <w:name w:val="Колонтитул"/>
    <w:basedOn w:val="a6"/>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
    <w:basedOn w:val="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2"/>
    <w:basedOn w:val="7"/>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a5">
    <w:name w:val="Сноска"/>
    <w:basedOn w:val="a"/>
    <w:link w:val="a4"/>
    <w:pPr>
      <w:shd w:val="clear" w:color="auto" w:fill="FFFFFF"/>
      <w:spacing w:line="264" w:lineRule="exact"/>
    </w:pPr>
    <w:rPr>
      <w:rFonts w:ascii="Arial" w:eastAsia="Arial" w:hAnsi="Arial" w:cs="Arial"/>
      <w:sz w:val="22"/>
      <w:szCs w:val="22"/>
    </w:rPr>
  </w:style>
  <w:style w:type="paragraph" w:customStyle="1" w:styleId="51">
    <w:name w:val="Основной текст (5)1"/>
    <w:basedOn w:val="a"/>
    <w:link w:val="5"/>
    <w:pPr>
      <w:shd w:val="clear" w:color="auto" w:fill="FFFFFF"/>
      <w:spacing w:before="1440" w:after="180" w:line="266" w:lineRule="exact"/>
    </w:pPr>
    <w:rPr>
      <w:rFonts w:ascii="Arial" w:eastAsia="Arial" w:hAnsi="Arial" w:cs="Arial"/>
      <w:b/>
      <w:bCs/>
      <w:sz w:val="22"/>
      <w:szCs w:val="22"/>
    </w:rPr>
  </w:style>
  <w:style w:type="paragraph" w:customStyle="1" w:styleId="21">
    <w:name w:val="Основной текст (2)1"/>
    <w:basedOn w:val="a"/>
    <w:link w:val="2"/>
    <w:pPr>
      <w:shd w:val="clear" w:color="auto" w:fill="FFFFFF"/>
      <w:spacing w:before="300" w:line="266" w:lineRule="exact"/>
      <w:ind w:hanging="360"/>
      <w:jc w:val="both"/>
    </w:pPr>
    <w:rPr>
      <w:rFonts w:ascii="Arial" w:eastAsia="Arial" w:hAnsi="Arial" w:cs="Arial"/>
      <w:sz w:val="22"/>
      <w:szCs w:val="22"/>
    </w:rPr>
  </w:style>
  <w:style w:type="paragraph" w:customStyle="1" w:styleId="71">
    <w:name w:val="Основной текст (7)1"/>
    <w:basedOn w:val="a"/>
    <w:link w:val="7"/>
    <w:pPr>
      <w:shd w:val="clear" w:color="auto" w:fill="FFFFFF"/>
      <w:spacing w:after="240" w:line="269" w:lineRule="exact"/>
      <w:jc w:val="center"/>
    </w:pPr>
    <w:rPr>
      <w:rFonts w:ascii="Arial" w:eastAsia="Arial" w:hAnsi="Arial" w:cs="Arial"/>
      <w:sz w:val="22"/>
      <w:szCs w:val="22"/>
    </w:rPr>
  </w:style>
  <w:style w:type="paragraph" w:customStyle="1" w:styleId="1">
    <w:name w:val="Колонтитул1"/>
    <w:basedOn w:val="a"/>
    <w:link w:val="a6"/>
    <w:pPr>
      <w:shd w:val="clear" w:color="auto" w:fill="FFFFFF"/>
      <w:spacing w:line="0" w:lineRule="atLeast"/>
    </w:pPr>
    <w:rPr>
      <w:rFonts w:ascii="Arial" w:eastAsia="Arial" w:hAnsi="Arial" w:cs="Arial"/>
      <w:sz w:val="22"/>
      <w:szCs w:val="22"/>
    </w:rPr>
  </w:style>
  <w:style w:type="paragraph" w:styleId="a8">
    <w:name w:val="header"/>
    <w:basedOn w:val="a"/>
    <w:link w:val="a9"/>
    <w:uiPriority w:val="99"/>
    <w:unhideWhenUsed/>
    <w:rsid w:val="00B611C9"/>
    <w:pPr>
      <w:tabs>
        <w:tab w:val="center" w:pos="4677"/>
        <w:tab w:val="right" w:pos="9355"/>
      </w:tabs>
    </w:pPr>
  </w:style>
  <w:style w:type="character" w:customStyle="1" w:styleId="a9">
    <w:name w:val="Верхний колонтитул Знак"/>
    <w:basedOn w:val="a0"/>
    <w:link w:val="a8"/>
    <w:uiPriority w:val="99"/>
    <w:rsid w:val="00B611C9"/>
    <w:rPr>
      <w:color w:val="000000"/>
    </w:rPr>
  </w:style>
  <w:style w:type="paragraph" w:styleId="aa">
    <w:name w:val="footer"/>
    <w:basedOn w:val="a"/>
    <w:link w:val="ab"/>
    <w:uiPriority w:val="99"/>
    <w:unhideWhenUsed/>
    <w:rsid w:val="00B611C9"/>
    <w:pPr>
      <w:tabs>
        <w:tab w:val="center" w:pos="4677"/>
        <w:tab w:val="right" w:pos="9355"/>
      </w:tabs>
    </w:pPr>
  </w:style>
  <w:style w:type="character" w:customStyle="1" w:styleId="ab">
    <w:name w:val="Нижний колонтитул Знак"/>
    <w:basedOn w:val="a0"/>
    <w:link w:val="aa"/>
    <w:uiPriority w:val="99"/>
    <w:rsid w:val="00B611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Turkmen Logistics Association</cp:lastModifiedBy>
  <cp:revision>2</cp:revision>
  <dcterms:created xsi:type="dcterms:W3CDTF">2023-07-19T09:24:00Z</dcterms:created>
  <dcterms:modified xsi:type="dcterms:W3CDTF">2023-07-19T09:24:00Z</dcterms:modified>
</cp:coreProperties>
</file>