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E7D3" w14:textId="09339F46" w:rsidR="00E833DE" w:rsidRDefault="00F31781" w:rsidP="00E833DE">
      <w:pPr>
        <w:pStyle w:val="71"/>
        <w:shd w:val="clear" w:color="auto" w:fill="auto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3DE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3601C982" w14:textId="7D644901" w:rsidR="00186329" w:rsidRPr="00E833DE" w:rsidRDefault="00F31781" w:rsidP="00E833DE">
      <w:pPr>
        <w:pStyle w:val="71"/>
        <w:shd w:val="clear" w:color="auto" w:fill="auto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3DE">
        <w:rPr>
          <w:rFonts w:ascii="Times New Roman" w:hAnsi="Times New Roman" w:cs="Times New Roman"/>
          <w:b/>
          <w:bCs/>
          <w:sz w:val="28"/>
          <w:szCs w:val="28"/>
        </w:rPr>
        <w:t>необходимых документов для получения специального разрешения для проезда</w:t>
      </w:r>
      <w:r w:rsidR="00E833DE" w:rsidRPr="00E83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3DE">
        <w:rPr>
          <w:rFonts w:ascii="Times New Roman" w:hAnsi="Times New Roman" w:cs="Times New Roman"/>
          <w:b/>
          <w:bCs/>
          <w:sz w:val="28"/>
          <w:szCs w:val="28"/>
        </w:rPr>
        <w:t>крупногабаритных и(или) тяжеловесных транспортных</w:t>
      </w:r>
      <w:r w:rsidR="00E833DE" w:rsidRPr="00E83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3DE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</w:p>
    <w:p w14:paraId="7D9C4947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6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Заявление.</w:t>
      </w:r>
    </w:p>
    <w:p w14:paraId="6FB42CD0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Схема автопоезда (все транспортные средства участвующие в перевозке, количество их осей и колес, с описанием распределения нагру</w:t>
      </w:r>
      <w:bookmarkStart w:id="0" w:name="_GoBack"/>
      <w:bookmarkEnd w:id="0"/>
      <w:r w:rsidRPr="00C15181">
        <w:rPr>
          <w:rStyle w:val="70"/>
          <w:rFonts w:ascii="Times New Roman" w:hAnsi="Times New Roman" w:cs="Times New Roman"/>
          <w:sz w:val="28"/>
          <w:szCs w:val="28"/>
        </w:rPr>
        <w:t>зки по осям).</w:t>
      </w:r>
    </w:p>
    <w:p w14:paraId="6E2829DC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Документы, подтверждающие невозможность разделения груза на отдельные части.</w:t>
      </w:r>
    </w:p>
    <w:p w14:paraId="15DAD855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всех транспортных средств, используемых в перевозках (технический паспорт).</w:t>
      </w:r>
    </w:p>
    <w:p w14:paraId="07A9EEA7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Если заявителем является физическое лицо, к заявлению должна быть приложена копия удостоверения личности.</w:t>
      </w:r>
    </w:p>
    <w:p w14:paraId="1D3531DF" w14:textId="77777777" w:rsidR="00186329" w:rsidRPr="00C15181" w:rsidRDefault="00F31781" w:rsidP="00E833DE">
      <w:pPr>
        <w:pStyle w:val="71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Если заявление подается юридическим лицом, оно должно быть подтверждено подписью и печатью его руководителя или уполномоченного представителя с указанием наименования и адреса юридического лица.</w:t>
      </w:r>
    </w:p>
    <w:p w14:paraId="1CC6EA24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 xml:space="preserve">Страница 1 формы согласия согласно приложению № 2 Правил должна быть заполнена перевозчиком </w:t>
      </w:r>
      <w:r w:rsidRPr="00C15181">
        <w:rPr>
          <w:rStyle w:val="70"/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C1518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C1518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C1518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e</w:t>
        </w:r>
        <w:r w:rsidRPr="00C1518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-</w:t>
        </w:r>
        <w:proofErr w:type="spellStart"/>
        <w:r w:rsidRPr="00C1518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qanun</w:t>
        </w:r>
        <w:proofErr w:type="spellEnd"/>
        <w:r w:rsidRPr="00C1518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C1518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az</w:t>
        </w:r>
        <w:proofErr w:type="spellEnd"/>
        <w:r w:rsidRPr="00C1518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C15181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framework</w:t>
        </w:r>
        <w:r w:rsidRPr="00C15181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/19136</w:t>
        </w:r>
      </w:hyperlink>
      <w:r w:rsidRPr="00C15181">
        <w:rPr>
          <w:rStyle w:val="70"/>
          <w:rFonts w:ascii="Times New Roman" w:hAnsi="Times New Roman" w:cs="Times New Roman"/>
          <w:sz w:val="28"/>
          <w:szCs w:val="28"/>
          <w:lang w:eastAsia="en-US" w:bidi="en-US"/>
        </w:rPr>
        <w:t>).</w:t>
      </w:r>
    </w:p>
    <w:p w14:paraId="16112E6A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 xml:space="preserve">При необходимости сопровождения </w:t>
      </w:r>
      <w:r w:rsidRPr="00C15181">
        <w:rPr>
          <w:rFonts w:ascii="Times New Roman" w:hAnsi="Times New Roman" w:cs="Times New Roman"/>
          <w:sz w:val="28"/>
          <w:szCs w:val="28"/>
        </w:rPr>
        <w:t xml:space="preserve">крупногабаритных и(или) тяжеловесных транспортных средств </w:t>
      </w:r>
      <w:r w:rsidRPr="00C15181">
        <w:rPr>
          <w:rStyle w:val="70"/>
          <w:rFonts w:ascii="Times New Roman" w:hAnsi="Times New Roman" w:cs="Times New Roman"/>
          <w:sz w:val="28"/>
          <w:szCs w:val="28"/>
        </w:rPr>
        <w:t>заключается договор между перевозчиком и Главным управлением государственной дорожной полиции МВД Азербайджана и уплачивается установленный законодательством сбор за услугу.</w:t>
      </w:r>
    </w:p>
    <w:p w14:paraId="2C2E48FD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 xml:space="preserve">В дополнение к дорожному налогу, предусмотренному Налоговым кодексом Азербайджанской Республики, платежи за ущерб, причиненный автомобильным дорогам и дорожному хозяйству, применяются к транспортным средствам, осуществляющим внутренние и международные грузовые перевозки, превышающие установленные габаритно-весовые нормы по автомобильным дорогам общего </w:t>
      </w:r>
      <w:proofErr w:type="gramStart"/>
      <w:r w:rsidRPr="00C15181">
        <w:rPr>
          <w:rStyle w:val="70"/>
          <w:rFonts w:ascii="Times New Roman" w:hAnsi="Times New Roman" w:cs="Times New Roman"/>
          <w:sz w:val="28"/>
          <w:szCs w:val="28"/>
        </w:rPr>
        <w:t>пользования..</w:t>
      </w:r>
      <w:proofErr w:type="gramEnd"/>
    </w:p>
    <w:p w14:paraId="06B2D965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 xml:space="preserve">При необходимости составления проекта усиления дорожного хозяйства с целью создания условий для нормального движения </w:t>
      </w:r>
      <w:r w:rsidRPr="00C15181">
        <w:rPr>
          <w:rFonts w:ascii="Times New Roman" w:hAnsi="Times New Roman" w:cs="Times New Roman"/>
          <w:sz w:val="28"/>
          <w:szCs w:val="28"/>
        </w:rPr>
        <w:t xml:space="preserve">крупногабаритных и(или) тяжеловесных транспортных средств </w:t>
      </w:r>
      <w:r w:rsidRPr="00C15181">
        <w:rPr>
          <w:rStyle w:val="70"/>
          <w:rFonts w:ascii="Times New Roman" w:hAnsi="Times New Roman" w:cs="Times New Roman"/>
          <w:sz w:val="28"/>
          <w:szCs w:val="28"/>
        </w:rPr>
        <w:t>по выбранному маршруту, работы по проекту выполняются за счет средств перевозчика (грузоотправитель, грузополучатель).</w:t>
      </w:r>
    </w:p>
    <w:p w14:paraId="164AB61C" w14:textId="77777777" w:rsidR="00186329" w:rsidRPr="00C15181" w:rsidRDefault="00F31781" w:rsidP="00E833DE">
      <w:pPr>
        <w:pStyle w:val="71"/>
        <w:numPr>
          <w:ilvl w:val="0"/>
          <w:numId w:val="5"/>
        </w:numPr>
        <w:shd w:val="clear" w:color="auto" w:fill="auto"/>
        <w:tabs>
          <w:tab w:val="left" w:pos="877"/>
        </w:tabs>
        <w:spacing w:after="673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Style w:val="70"/>
          <w:rFonts w:ascii="Times New Roman" w:hAnsi="Times New Roman" w:cs="Times New Roman"/>
          <w:sz w:val="28"/>
          <w:szCs w:val="28"/>
        </w:rPr>
        <w:t>Все необходимые документы должны быть приложены к Заявлению.</w:t>
      </w:r>
    </w:p>
    <w:p w14:paraId="4B390F69" w14:textId="77777777" w:rsidR="00186329" w:rsidRPr="00C15181" w:rsidRDefault="00F31781" w:rsidP="00E833DE">
      <w:pPr>
        <w:pStyle w:val="71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671114AC" w14:textId="77777777" w:rsidR="00186329" w:rsidRPr="00C15181" w:rsidRDefault="00F31781" w:rsidP="00E833DE">
      <w:pPr>
        <w:pStyle w:val="71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18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C15181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C15181">
          <w:rPr>
            <w:rStyle w:val="a3"/>
            <w:rFonts w:ascii="Times New Roman" w:hAnsi="Times New Roman" w:cs="Times New Roman"/>
            <w:sz w:val="28"/>
            <w:szCs w:val="28"/>
          </w:rPr>
          <w:t xml:space="preserve"> office@ayna.gov.az</w:t>
        </w:r>
      </w:hyperlink>
    </w:p>
    <w:p w14:paraId="1552E90C" w14:textId="77777777" w:rsidR="00186329" w:rsidRPr="00C15181" w:rsidRDefault="00F31781" w:rsidP="00E833DE">
      <w:pPr>
        <w:pStyle w:val="71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Тел.: +994125142751</w:t>
      </w:r>
    </w:p>
    <w:p w14:paraId="28C32DAE" w14:textId="77777777" w:rsidR="00186329" w:rsidRPr="00C15181" w:rsidRDefault="00F31781" w:rsidP="00E833DE">
      <w:pPr>
        <w:pStyle w:val="71"/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Горячая линия (внутри страны): 1181</w:t>
      </w:r>
    </w:p>
    <w:sectPr w:rsidR="00186329" w:rsidRPr="00C15181" w:rsidSect="00E833DE">
      <w:headerReference w:type="default" r:id="rId9"/>
      <w:type w:val="continuous"/>
      <w:pgSz w:w="11900" w:h="16840"/>
      <w:pgMar w:top="1560" w:right="1127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ACA3" w14:textId="77777777" w:rsidR="002E7994" w:rsidRDefault="002E7994">
      <w:r>
        <w:separator/>
      </w:r>
    </w:p>
  </w:endnote>
  <w:endnote w:type="continuationSeparator" w:id="0">
    <w:p w14:paraId="4613F185" w14:textId="77777777" w:rsidR="002E7994" w:rsidRDefault="002E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6789" w14:textId="77777777" w:rsidR="002E7994" w:rsidRDefault="002E7994">
      <w:r>
        <w:separator/>
      </w:r>
    </w:p>
  </w:footnote>
  <w:footnote w:type="continuationSeparator" w:id="0">
    <w:p w14:paraId="7BC79A18" w14:textId="77777777" w:rsidR="002E7994" w:rsidRDefault="002E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F465" w14:textId="02DF4B59" w:rsidR="00186329" w:rsidRDefault="003C19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440473" wp14:editId="1BBB7E0C">
              <wp:simplePos x="0" y="0"/>
              <wp:positionH relativeFrom="page">
                <wp:posOffset>5760720</wp:posOffset>
              </wp:positionH>
              <wp:positionV relativeFrom="page">
                <wp:posOffset>840105</wp:posOffset>
              </wp:positionV>
              <wp:extent cx="1085850" cy="160655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A2301" w14:textId="5441739B" w:rsidR="00186329" w:rsidRDefault="00F3178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№</w:t>
                          </w:r>
                          <w:r w:rsidR="0055032E"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0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6pt;margin-top:66.15pt;width:85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" filled="f" stroked="f">
              <v:textbox style="mso-fit-shape-to-text:t" inset="0,0,0,0">
                <w:txbxContent>
                  <w:p w14:paraId="4B9A2301" w14:textId="5441739B" w:rsidR="00186329" w:rsidRDefault="00F3178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№</w:t>
                    </w:r>
                    <w:r w:rsidR="0055032E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7A5D"/>
    <w:multiLevelType w:val="multilevel"/>
    <w:tmpl w:val="D29664D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523B8"/>
    <w:multiLevelType w:val="multilevel"/>
    <w:tmpl w:val="0AD00D92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B59BC"/>
    <w:multiLevelType w:val="multilevel"/>
    <w:tmpl w:val="2E84E3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920976"/>
    <w:multiLevelType w:val="multilevel"/>
    <w:tmpl w:val="E50EE9F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A71ACA"/>
    <w:multiLevelType w:val="multilevel"/>
    <w:tmpl w:val="3DC29B3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9"/>
    <w:rsid w:val="000C1C6C"/>
    <w:rsid w:val="000D7FCD"/>
    <w:rsid w:val="00186329"/>
    <w:rsid w:val="001C3A24"/>
    <w:rsid w:val="002E7994"/>
    <w:rsid w:val="00311D93"/>
    <w:rsid w:val="003C19FA"/>
    <w:rsid w:val="0055032E"/>
    <w:rsid w:val="006608A4"/>
    <w:rsid w:val="006F3853"/>
    <w:rsid w:val="008547F1"/>
    <w:rsid w:val="00B611C9"/>
    <w:rsid w:val="00B772D0"/>
    <w:rsid w:val="00C15181"/>
    <w:rsid w:val="00D10D5B"/>
    <w:rsid w:val="00E833DE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15FF"/>
  <w15:docId w15:val="{436FC286-00AA-4469-8843-3FE7E1C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2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</w:pPr>
    <w:rPr>
      <w:rFonts w:ascii="Arial" w:eastAsia="Arial" w:hAnsi="Arial" w:cs="Arial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1440" w:after="180" w:line="26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line="266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240" w:line="26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611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1C9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1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yna.gov.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qanun.az/framework/19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Turkmen Logistics Association</cp:lastModifiedBy>
  <cp:revision>2</cp:revision>
  <dcterms:created xsi:type="dcterms:W3CDTF">2023-07-19T09:24:00Z</dcterms:created>
  <dcterms:modified xsi:type="dcterms:W3CDTF">2023-07-19T09:24:00Z</dcterms:modified>
</cp:coreProperties>
</file>